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40"/>
        <w:jc w:val="center"/>
        <w:rPr>
          <w:b/>
          <w:bCs/>
          <w:highlight w:val="none"/>
        </w:rPr>
      </w:pPr>
      <w:r>
        <w:rPr>
          <w:b/>
        </w:rPr>
        <w:t xml:space="preserve">ФИНАНСОВО-ЭКОНОМИЧЕСКОЕ ОБОСНОВАНИЕ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проекту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в отдельные законы Новосибирской области, </w:t>
      </w:r>
      <w:r>
        <w:rPr>
          <w:rFonts w:ascii="Times New Roman" w:hAnsi="Times New Roman"/>
          <w:b/>
          <w:sz w:val="28"/>
          <w:szCs w:val="28"/>
        </w:rPr>
        <w:t xml:space="preserve">регулирующие вопросы предоставления мер социальной поддержки и социального обслуживания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»</w:t>
      </w:r>
      <w:r>
        <w:rPr>
          <w:rFonts w:ascii="Times New Roman" w:hAnsi="Times New Roman"/>
          <w:b/>
          <w:bCs/>
          <w:sz w:val="20"/>
          <w:szCs w:val="20"/>
        </w:rPr>
      </w:r>
      <w:r>
        <w:rPr>
          <w:rFonts w:ascii="Times New Roman" w:hAnsi="Times New Roman"/>
          <w:b/>
          <w:bCs/>
          <w:sz w:val="20"/>
          <w:szCs w:val="20"/>
        </w:rPr>
      </w:r>
    </w:p>
    <w:p>
      <w:pPr>
        <w:pStyle w:val="845"/>
        <w:jc w:val="left"/>
        <w:rPr>
          <w:b w:val="0"/>
          <w:bCs w:val="0"/>
        </w:rPr>
      </w:pPr>
      <w:r>
        <w:rPr>
          <w:b w:val="0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40"/>
        <w:ind w:firstLine="709"/>
        <w:jc w:val="both"/>
        <w:rPr>
          <w:highlight w:val="none"/>
        </w:rPr>
      </w:pPr>
      <w:r>
        <w:t xml:space="preserve">Реализация закон</w:t>
      </w:r>
      <w:r>
        <w:t xml:space="preserve">а </w:t>
      </w:r>
      <w:r>
        <w:t xml:space="preserve">будет осуществляться в рамках полномочи</w:t>
      </w:r>
      <w:r>
        <w:t xml:space="preserve">я</w:t>
      </w:r>
      <w:r>
        <w:t xml:space="preserve"> Новосибирской области «</w:t>
      </w:r>
      <w:r>
        <w:t xml:space="preserve">С</w:t>
      </w:r>
      <w:r>
        <w:t xml:space="preserve">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</w:t>
      </w:r>
      <w:r>
        <w:t xml:space="preserve">ф</w:t>
      </w:r>
      <w:r>
        <w:t xml:space="preserve">едеральных государственных образовательных организациях), социальной поддержки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</w:t>
      </w:r>
      <w:r>
        <w:t xml:space="preserve">в</w:t>
      </w:r>
      <w:r>
        <w:t xml:space="preserve">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</w:t>
      </w:r>
      <w:r>
        <w:t xml:space="preserve">в</w:t>
      </w:r>
      <w:r>
        <w:t xml:space="preserve">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</w:t>
      </w:r>
      <w:r>
        <w:t xml:space="preserve">я мер социальной поддержки льготным категориям граждан)</w:t>
      </w:r>
      <w:r>
        <w:t xml:space="preserve">»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left="0" w:right="0" w:firstLine="720"/>
        <w:jc w:val="both"/>
        <w:spacing w:before="0" w:after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highlight w:val="none"/>
        </w:rPr>
        <w:t xml:space="preserve">Закон </w:t>
      </w:r>
      <w:r>
        <w:rPr>
          <w:highlight w:val="none"/>
        </w:rPr>
        <w:t xml:space="preserve">пре</w:t>
      </w:r>
      <w:r>
        <w:rPr>
          <w:highlight w:val="white"/>
        </w:rPr>
        <w:t xml:space="preserve">дусматривает внесение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технических правок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Закон Новосибирской области от 19 октября 2006 года № 42-ОЗ 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«О порядке и условиях присвоения звания «Ветеран труда»</w:t>
      </w:r>
      <w:r>
        <w:rPr>
          <w:rFonts w:ascii="Times New Roman" w:hAnsi="Times New Roman"/>
          <w:sz w:val="28"/>
          <w:szCs w:val="28"/>
          <w:highlight w:val="white"/>
          <w:lang w:eastAsia="ru-RU"/>
        </w:rPr>
        <w:t xml:space="preserve">,</w:t>
      </w:r>
      <w:r>
        <w:rPr>
          <w:highlight w:val="white"/>
        </w:rPr>
        <w:t xml:space="preserve"> в </w:t>
      </w:r>
      <w:r>
        <w:rPr>
          <w:rFonts w:ascii="Times New Roman" w:hAnsi="Times New Roman"/>
          <w:sz w:val="28"/>
          <w:szCs w:val="28"/>
          <w:highlight w:val="white"/>
          <w:lang w:eastAsia="zh-CN"/>
        </w:rPr>
        <w:t xml:space="preserve">Закон Новосибирской области от 18 декабря 2014 года № 499-ОЗ «Об отдельных вопросах организации социального обслуживания граждан в Новосиби</w:t>
      </w:r>
      <w:r>
        <w:rPr>
          <w:rFonts w:ascii="Times New Roman" w:hAnsi="Times New Roman"/>
          <w:sz w:val="28"/>
          <w:szCs w:val="28"/>
          <w:lang w:eastAsia="zh-CN"/>
        </w:rPr>
        <w:t xml:space="preserve">рской области»</w:t>
      </w:r>
      <w:r>
        <w:rPr>
          <w:highlight w:val="none"/>
        </w:rPr>
        <w:t xml:space="preserve"> и </w:t>
      </w:r>
      <w:r>
        <w:rPr>
          <w:rFonts w:ascii="Times New Roman" w:hAnsi="Times New Roman"/>
          <w:bCs/>
          <w:strike w:val="0"/>
          <w:sz w:val="28"/>
          <w:szCs w:val="28"/>
        </w:rPr>
        <w:t xml:space="preserve">Закон Новосибирской области от 5 мая 2016 года № 57</w:t>
        <w:noBreakHyphen/>
        <w:t xml:space="preserve">ОЗ </w:t>
      </w:r>
      <w:r>
        <w:rPr>
          <w:rFonts w:ascii="Times New Roman" w:hAnsi="Times New Roman"/>
          <w:bCs/>
          <w:strike w:val="0"/>
          <w:sz w:val="28"/>
          <w:szCs w:val="28"/>
        </w:rPr>
        <w:t xml:space="preserve">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области»,</w:t>
      </w:r>
      <w:r>
        <w:t xml:space="preserve"> которые не приведут к образованию дополнительной потребности в средствах областного бюджета Новосибирской области </w:t>
      </w:r>
      <w:r>
        <w:t xml:space="preserve">в части расходных обязательств министерства труда и социального развития Новосибирской области (далее – министерство)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ind w:firstLine="709"/>
        <w:jc w:val="both"/>
        <w:rPr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8"/>
        </w:rPr>
        <w:t xml:space="preserve">Сводной бюджетной росписью областного бюджета Новосибирской области на 2025 год и плановый период 2026 и 2027 годов по состоянию на 29.05.2025 </w:t>
      </w:r>
      <w:r>
        <w:rPr>
          <w:szCs w:val="28"/>
        </w:rPr>
        <w:t xml:space="preserve"> министерству </w:t>
      </w:r>
      <w:r>
        <w:rPr>
          <w:szCs w:val="28"/>
        </w:rPr>
        <w:t xml:space="preserve">предусмотрены бюджетные ассигнования в рамках следующих расходных обязательств: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rFonts w:eastAsia="Calibri"/>
          <w:highlight w:val="none"/>
          <w:lang w:eastAsia="en-US"/>
        </w:rPr>
      </w:pPr>
      <w:r>
        <w:rPr>
          <w:rFonts w:eastAsia="Calibri"/>
          <w:szCs w:val="28"/>
          <w:highlight w:val="none"/>
          <w:lang w:eastAsia="en-US"/>
        </w:rPr>
        <w:t xml:space="preserve">«К</w:t>
      </w:r>
      <w:r>
        <w:rPr>
          <w:rFonts w:eastAsia="Calibri"/>
          <w:szCs w:val="28"/>
          <w:highlight w:val="none"/>
          <w:lang w:eastAsia="en-US"/>
        </w:rPr>
        <w:t xml:space="preserve">омпенсация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(КБК 023 1003 28.3.04.04630</w:t>
      </w:r>
      <w:r>
        <w:rPr>
          <w:rFonts w:eastAsia="Calibri"/>
          <w:szCs w:val="28"/>
          <w:highlight w:val="none"/>
          <w:lang w:eastAsia="en-US"/>
        </w:rPr>
        <w:t xml:space="preserve">):</w:t>
      </w:r>
      <w:r>
        <w:rPr>
          <w:rFonts w:eastAsia="Calibri"/>
          <w:highlight w:val="none"/>
          <w:lang w:eastAsia="en-US"/>
        </w:rPr>
      </w:r>
      <w:r>
        <w:rPr>
          <w:rFonts w:eastAsia="Calibri"/>
          <w:highlight w:val="none"/>
          <w:lang w:eastAsia="en-US"/>
        </w:rPr>
      </w:r>
    </w:p>
    <w:p>
      <w:pPr>
        <w:pStyle w:val="84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2025 год – 53 247 000,00 рублей;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4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202</w:t>
      </w:r>
      <w:r>
        <w:rPr>
          <w:rFonts w:eastAsia="Calibri"/>
          <w:szCs w:val="28"/>
          <w:lang w:eastAsia="en-US"/>
        </w:rPr>
        <w:t xml:space="preserve">6</w:t>
      </w:r>
      <w:r>
        <w:rPr>
          <w:rFonts w:eastAsia="Calibri"/>
          <w:szCs w:val="28"/>
          <w:lang w:eastAsia="en-US"/>
        </w:rPr>
        <w:t xml:space="preserve"> год – 53 247 000,00 рублей;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ind w:firstLine="709"/>
        <w:jc w:val="both"/>
        <w:rPr>
          <w:rFonts w:eastAsia="Calibri"/>
          <w:highlight w:val="none"/>
          <w:lang w:eastAsia="en-US"/>
        </w:rPr>
      </w:pPr>
      <w:r>
        <w:rPr>
          <w:rFonts w:eastAsia="Calibri"/>
          <w:szCs w:val="28"/>
          <w:lang w:eastAsia="en-US"/>
        </w:rPr>
        <w:t xml:space="preserve">202</w:t>
      </w:r>
      <w:r>
        <w:rPr>
          <w:rFonts w:eastAsia="Calibri"/>
          <w:szCs w:val="28"/>
          <w:lang w:eastAsia="en-US"/>
        </w:rPr>
        <w:t xml:space="preserve">7</w:t>
      </w:r>
      <w:r>
        <w:rPr>
          <w:rFonts w:eastAsia="Calibri"/>
          <w:szCs w:val="28"/>
          <w:lang w:eastAsia="en-US"/>
        </w:rPr>
        <w:t xml:space="preserve"> год – 53 247 000,00 рублей;</w:t>
      </w:r>
      <w:r>
        <w:rPr>
          <w:rFonts w:eastAsia="Calibri"/>
          <w:highlight w:val="none"/>
          <w:lang w:eastAsia="en-US"/>
        </w:rPr>
      </w:r>
      <w:r>
        <w:rPr>
          <w:rFonts w:eastAsia="Calibri"/>
          <w:highlight w:val="none"/>
          <w:lang w:eastAsia="en-US"/>
        </w:rPr>
      </w:r>
    </w:p>
    <w:p>
      <w:pPr>
        <w:pStyle w:val="840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«Ф</w:t>
      </w:r>
      <w:r>
        <w:rPr>
          <w:rFonts w:eastAsia="Calibri"/>
          <w:szCs w:val="28"/>
          <w:lang w:eastAsia="en-US"/>
        </w:rPr>
        <w:t xml:space="preserve">инансовое обеспечение у</w:t>
      </w:r>
      <w:r>
        <w:rPr>
          <w:rFonts w:eastAsia="Calibri"/>
          <w:szCs w:val="28"/>
          <w:lang w:eastAsia="en-US"/>
        </w:rPr>
        <w:t xml:space="preserve">слуг доставки социальных выплат» (</w:t>
      </w:r>
      <w:r>
        <w:rPr>
          <w:rFonts w:eastAsia="Calibri"/>
          <w:szCs w:val="28"/>
          <w:lang w:eastAsia="en-US"/>
        </w:rPr>
        <w:t xml:space="preserve">КБК </w:t>
      </w:r>
      <w:r>
        <w:rPr>
          <w:rFonts w:eastAsia="Calibri"/>
          <w:szCs w:val="28"/>
          <w:lang w:eastAsia="en-US"/>
        </w:rPr>
        <w:t xml:space="preserve">023 1006 28.3.04.05260 244</w:t>
      </w:r>
      <w:r>
        <w:rPr>
          <w:rFonts w:eastAsia="Calibri"/>
          <w:szCs w:val="28"/>
          <w:lang w:eastAsia="en-US"/>
        </w:rPr>
        <w:t xml:space="preserve">):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40"/>
        <w:ind w:firstLine="709"/>
        <w:jc w:val="both"/>
      </w:pPr>
      <w:r>
        <w:t xml:space="preserve">2025 год – </w:t>
      </w:r>
      <w:r>
        <w:t xml:space="preserve">191 381 330,21</w:t>
      </w:r>
      <w:r>
        <w:t xml:space="preserve"> рублей, в том числе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610 000,00</w:t>
      </w:r>
      <w:r>
        <w:rPr>
          <w:rFonts w:eastAsia="Calibri"/>
          <w:szCs w:val="28"/>
          <w:lang w:eastAsia="en-US"/>
        </w:rPr>
        <w:t xml:space="preserve"> рублей</w:t>
      </w:r>
      <w:r>
        <w:rPr>
          <w:rFonts w:eastAsia="Calibri"/>
          <w:szCs w:val="28"/>
          <w:lang w:eastAsia="en-US"/>
        </w:rPr>
        <w:t xml:space="preserve"> </w:t>
      </w:r>
      <w:r>
        <w:t xml:space="preserve">на обеспечение услуг доставки вышеуказанных социальных выплат;</w:t>
      </w:r>
      <w:r/>
    </w:p>
    <w:p>
      <w:pPr>
        <w:pStyle w:val="840"/>
        <w:ind w:firstLine="709"/>
        <w:jc w:val="both"/>
      </w:pPr>
      <w:r>
        <w:t xml:space="preserve">2026 год –</w:t>
      </w:r>
      <w:r>
        <w:t xml:space="preserve"> </w:t>
      </w:r>
      <w:r>
        <w:t xml:space="preserve">222</w:t>
      </w:r>
      <w:r>
        <w:t xml:space="preserve"> </w:t>
      </w:r>
      <w:r>
        <w:t xml:space="preserve">460</w:t>
      </w:r>
      <w:r>
        <w:t xml:space="preserve"> </w:t>
      </w:r>
      <w:r>
        <w:t xml:space="preserve">900</w:t>
      </w:r>
      <w:r>
        <w:t xml:space="preserve">,00 </w:t>
      </w:r>
      <w:r>
        <w:t xml:space="preserve">рублей, в том числе </w:t>
      </w:r>
      <w:r>
        <w:rPr>
          <w:rFonts w:eastAsia="Calibri"/>
          <w:szCs w:val="28"/>
          <w:lang w:eastAsia="en-US"/>
        </w:rPr>
        <w:t xml:space="preserve">610 000,00</w:t>
      </w:r>
      <w:r>
        <w:t xml:space="preserve"> рублей на обеспечение услуг доставки вышеуказанных социальных выплат;</w:t>
      </w:r>
      <w:r/>
    </w:p>
    <w:p>
      <w:pPr>
        <w:pStyle w:val="840"/>
        <w:ind w:firstLine="709"/>
        <w:jc w:val="both"/>
        <w:rPr>
          <w:highlight w:val="none"/>
        </w:rPr>
      </w:pPr>
      <w:r>
        <w:t xml:space="preserve">2027 год – </w:t>
      </w:r>
      <w:r>
        <w:t xml:space="preserve">341</w:t>
      </w:r>
      <w:r>
        <w:t xml:space="preserve"> </w:t>
      </w:r>
      <w:r>
        <w:t xml:space="preserve">190</w:t>
      </w:r>
      <w:r>
        <w:t xml:space="preserve"> </w:t>
      </w:r>
      <w:r>
        <w:t xml:space="preserve">800</w:t>
      </w:r>
      <w:r>
        <w:t xml:space="preserve">,00 </w:t>
      </w:r>
      <w:r>
        <w:t xml:space="preserve">рублей, в том числе </w:t>
      </w:r>
      <w:r>
        <w:rPr>
          <w:rFonts w:eastAsia="Calibri"/>
          <w:szCs w:val="28"/>
          <w:lang w:eastAsia="en-US"/>
        </w:rPr>
        <w:t xml:space="preserve">610 000,00</w:t>
      </w:r>
      <w:r>
        <w:t xml:space="preserve"> рублей на обеспечение услуг доставки вышеуказанных социальных выплат;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«</w:t>
      </w:r>
      <w:r>
        <w:rPr>
          <w:highlight w:val="none"/>
        </w:rPr>
        <w:t xml:space="preserve">Реализация мероприятий в сфере реабилитации и абилитации инвалидов</w:t>
      </w:r>
      <w:r>
        <w:rPr>
          <w:highlight w:val="none"/>
        </w:rPr>
        <w:t xml:space="preserve">»  (КБК 023 1006 28.3.03.R5140 622):</w:t>
      </w:r>
      <w:r>
        <w:rPr>
          <w:highlight w:val="none"/>
        </w:rPr>
      </w:r>
      <w:r>
        <w:rPr>
          <w:highlight w:val="none"/>
        </w:rPr>
      </w:r>
    </w:p>
    <w:p>
      <w:pPr>
        <w:pStyle w:val="84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2025 год – 41 069 000,00 рублей;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pStyle w:val="84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202</w:t>
      </w:r>
      <w:r>
        <w:rPr>
          <w:rFonts w:eastAsia="Calibri"/>
          <w:szCs w:val="28"/>
          <w:lang w:eastAsia="en-US"/>
        </w:rPr>
        <w:t xml:space="preserve">6</w:t>
      </w:r>
      <w:r>
        <w:rPr>
          <w:rFonts w:eastAsia="Calibri"/>
          <w:szCs w:val="28"/>
          <w:lang w:eastAsia="en-US"/>
        </w:rPr>
        <w:t xml:space="preserve"> год – 38 648 400,00 рублей;</w: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</w:r>
    </w:p>
    <w:p>
      <w:pPr>
        <w:ind w:firstLine="709"/>
        <w:jc w:val="both"/>
        <w:rPr>
          <w:highlight w:val="none"/>
        </w:rPr>
      </w:pPr>
      <w:r>
        <w:rPr>
          <w:rFonts w:eastAsia="Calibri"/>
          <w:szCs w:val="28"/>
          <w:lang w:eastAsia="en-US"/>
        </w:rPr>
        <w:t xml:space="preserve">202</w:t>
      </w:r>
      <w:r>
        <w:rPr>
          <w:rFonts w:eastAsia="Calibri"/>
          <w:szCs w:val="28"/>
          <w:lang w:eastAsia="en-US"/>
        </w:rPr>
        <w:t xml:space="preserve">7</w:t>
      </w:r>
      <w:r>
        <w:rPr>
          <w:rFonts w:eastAsia="Calibri"/>
          <w:szCs w:val="28"/>
          <w:lang w:eastAsia="en-US"/>
        </w:rPr>
        <w:t xml:space="preserve"> год – 38 785 300,00 рублей;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white"/>
          <w14:ligatures w14:val="none"/>
        </w:rPr>
      </w:pPr>
      <w:r>
        <w:rPr>
          <w:highlight w:val="white"/>
        </w:rPr>
      </w:r>
      <w:r>
        <w:rPr>
          <w:highlight w:val="white"/>
        </w:rPr>
        <w:t xml:space="preserve">«</w:t>
      </w:r>
      <w:r>
        <w:rPr>
          <w:highlight w:val="white"/>
        </w:rPr>
        <w:t xml:space="preserve">Мероприятия по</w:t>
      </w:r>
      <w:r>
        <w:rPr>
          <w:highlight w:val="white"/>
        </w:rPr>
        <w:t xml:space="preserve"> повышению качества жизни граждан пожилого возраста в Новосибирской области»</w:t>
      </w:r>
      <w:r>
        <w:rPr>
          <w:highlight w:val="white"/>
        </w:rPr>
        <w:t xml:space="preserve"> (КБК 023 </w:t>
      </w:r>
      <w:r>
        <w:rPr>
          <w:highlight w:val="white"/>
        </w:rPr>
        <w:t xml:space="preserve">1006 </w:t>
      </w:r>
      <w:r>
        <w:rPr>
          <w:highlight w:val="white"/>
        </w:rPr>
        <w:t xml:space="preserve">2830404120</w:t>
      </w:r>
      <w:r>
        <w:rPr>
          <w:highlight w:val="white"/>
        </w:rPr>
        <w:t xml:space="preserve"> 244)</w:t>
      </w:r>
      <w:r>
        <w:rPr>
          <w:highlight w:val="white"/>
        </w:rPr>
        <w:t xml:space="preserve">: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840"/>
        <w:ind w:firstLine="709"/>
        <w:jc w:val="both"/>
        <w:rPr>
          <w:rFonts w:eastAsia="Calibri"/>
          <w:szCs w:val="28"/>
          <w:highlight w:val="white"/>
        </w:rPr>
      </w:pPr>
      <w:r>
        <w:rPr>
          <w:rFonts w:eastAsia="Calibri"/>
          <w:szCs w:val="28"/>
          <w:highlight w:val="white"/>
          <w:lang w:eastAsia="en-US"/>
        </w:rPr>
        <w:t xml:space="preserve">2025 год – 274 400,00 рублей;</w:t>
      </w:r>
      <w:r>
        <w:rPr>
          <w:rFonts w:eastAsia="Calibri"/>
          <w:szCs w:val="28"/>
          <w:highlight w:val="white"/>
        </w:rPr>
      </w:r>
      <w:r>
        <w:rPr>
          <w:rFonts w:eastAsia="Calibri"/>
          <w:szCs w:val="28"/>
          <w:highlight w:val="white"/>
        </w:rPr>
      </w:r>
    </w:p>
    <w:p>
      <w:pPr>
        <w:pStyle w:val="840"/>
        <w:ind w:firstLine="709"/>
        <w:jc w:val="both"/>
        <w:rPr>
          <w:rFonts w:eastAsia="Calibri"/>
          <w:szCs w:val="28"/>
          <w:highlight w:val="white"/>
        </w:rPr>
      </w:pPr>
      <w:r>
        <w:rPr>
          <w:rFonts w:eastAsia="Calibri"/>
          <w:szCs w:val="28"/>
          <w:highlight w:val="white"/>
          <w:lang w:eastAsia="en-US"/>
        </w:rPr>
        <w:t xml:space="preserve">202</w:t>
      </w:r>
      <w:r>
        <w:rPr>
          <w:rFonts w:eastAsia="Calibri"/>
          <w:szCs w:val="28"/>
          <w:highlight w:val="white"/>
          <w:lang w:eastAsia="en-US"/>
        </w:rPr>
        <w:t xml:space="preserve">6</w:t>
      </w:r>
      <w:r>
        <w:rPr>
          <w:rFonts w:eastAsia="Calibri"/>
          <w:szCs w:val="28"/>
          <w:highlight w:val="white"/>
          <w:lang w:eastAsia="en-US"/>
        </w:rPr>
        <w:t xml:space="preserve"> год – </w:t>
      </w:r>
      <w:r>
        <w:rPr>
          <w:rFonts w:eastAsia="Calibri"/>
          <w:szCs w:val="28"/>
          <w:highlight w:val="white"/>
          <w:lang w:eastAsia="en-US"/>
        </w:rPr>
        <w:t xml:space="preserve">274 400,00</w:t>
      </w:r>
      <w:r>
        <w:rPr>
          <w:rFonts w:eastAsia="Calibri"/>
          <w:szCs w:val="28"/>
          <w:highlight w:val="white"/>
          <w:lang w:eastAsia="en-US"/>
        </w:rPr>
        <w:t xml:space="preserve"> рублей;</w:t>
      </w:r>
      <w:r>
        <w:rPr>
          <w:rFonts w:eastAsia="Calibri"/>
          <w:szCs w:val="28"/>
          <w:highlight w:val="white"/>
        </w:rPr>
      </w:r>
      <w:r>
        <w:rPr>
          <w:rFonts w:eastAsia="Calibri"/>
          <w:szCs w:val="28"/>
          <w:highlight w:val="white"/>
        </w:rPr>
      </w:r>
    </w:p>
    <w:p>
      <w:pPr>
        <w:ind w:firstLine="709"/>
        <w:jc w:val="both"/>
        <w:rPr>
          <w:highlight w:val="white"/>
          <w14:ligatures w14:val="none"/>
        </w:rPr>
      </w:pPr>
      <w:r>
        <w:rPr>
          <w:rFonts w:eastAsia="Calibri"/>
          <w:szCs w:val="28"/>
          <w:highlight w:val="white"/>
          <w:lang w:eastAsia="en-US"/>
        </w:rPr>
        <w:t xml:space="preserve">202</w:t>
      </w:r>
      <w:r>
        <w:rPr>
          <w:rFonts w:eastAsia="Calibri"/>
          <w:szCs w:val="28"/>
          <w:highlight w:val="white"/>
          <w:lang w:eastAsia="en-US"/>
        </w:rPr>
        <w:t xml:space="preserve">7</w:t>
      </w:r>
      <w:r>
        <w:rPr>
          <w:rFonts w:eastAsia="Calibri"/>
          <w:szCs w:val="28"/>
          <w:highlight w:val="white"/>
          <w:lang w:eastAsia="en-US"/>
        </w:rPr>
        <w:t xml:space="preserve"> год – </w:t>
      </w:r>
      <w:r>
        <w:rPr>
          <w:rFonts w:eastAsia="Calibri"/>
          <w:szCs w:val="28"/>
          <w:highlight w:val="white"/>
          <w:lang w:eastAsia="en-US"/>
        </w:rPr>
        <w:t xml:space="preserve">274 400,00</w:t>
      </w:r>
      <w:r>
        <w:rPr>
          <w:rFonts w:eastAsia="Calibri"/>
          <w:szCs w:val="28"/>
          <w:highlight w:val="white"/>
          <w:lang w:eastAsia="en-US"/>
        </w:rPr>
        <w:t xml:space="preserve"> рублей</w:t>
      </w:r>
      <w:r>
        <w:rPr>
          <w:highlight w:val="white"/>
        </w:rPr>
        <w:t xml:space="preserve">.</w:t>
      </w:r>
      <w:r>
        <w:rPr>
          <w:highlight w:val="white"/>
          <w14:ligatures w14:val="none"/>
        </w:rPr>
      </w:r>
      <w:r>
        <w:rPr>
          <w:highlight w:val="white"/>
          <w14:ligatures w14:val="none"/>
        </w:rPr>
      </w:r>
    </w:p>
    <w:p>
      <w:pPr>
        <w:pStyle w:val="84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Реализация закона не потребует дополнительных затрат из областного бюджета Новосибирской области и будет осуществляться в пределах утвержденных министерству бюджетных ассигнований.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szCs w:val="28"/>
          <w:highlight w:val="white"/>
          <w:lang w:eastAsia="en-US"/>
        </w:rPr>
        <w:t xml:space="preserve">Выпадающие доходы областного бю</w:t>
      </w:r>
      <w:r>
        <w:rPr>
          <w:rFonts w:eastAsia="Calibri"/>
          <w:szCs w:val="28"/>
          <w:lang w:eastAsia="en-US"/>
        </w:rPr>
        <w:t xml:space="preserve">джета Новосибирской области при реализации закона отсутствуют.</w:t>
      </w:r>
      <w:r>
        <w:rPr>
          <w:rFonts w:eastAsia="Calibri"/>
          <w:szCs w:val="28"/>
          <w:lang w:eastAsia="en-US"/>
        </w:rPr>
      </w:r>
      <w:r>
        <w:rPr>
          <w:rFonts w:eastAsia="Calibri"/>
          <w:lang w:eastAsia="en-US"/>
        </w:rPr>
      </w:r>
    </w:p>
    <w:p>
      <w:pPr>
        <w:pStyle w:val="84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 xml:space="preserve">Участниками реализации закона является министерство и подведомственные министерству учреждения.</w:t>
      </w:r>
      <w:r>
        <w:rPr>
          <w:szCs w:val="28"/>
        </w:rPr>
      </w:r>
      <w:r>
        <w:rPr>
          <w:szCs w:val="28"/>
        </w:rPr>
      </w:r>
    </w:p>
    <w:p>
      <w:pPr>
        <w:pStyle w:val="840"/>
        <w:ind w:firstLine="709"/>
        <w:jc w:val="both"/>
      </w:pPr>
      <w:r/>
      <w:r/>
    </w:p>
    <w:p>
      <w:pPr>
        <w:pStyle w:val="840"/>
        <w:ind w:firstLine="709"/>
        <w:jc w:val="both"/>
      </w:pPr>
      <w:r/>
      <w:r/>
    </w:p>
    <w:p>
      <w:pPr>
        <w:pStyle w:val="840"/>
        <w:ind w:firstLine="709"/>
        <w:jc w:val="both"/>
      </w:pPr>
      <w:r/>
      <w:r/>
    </w:p>
    <w:sectPr>
      <w:footnotePr/>
      <w:endnotePr/>
      <w:type w:val="nextPage"/>
      <w:pgSz w:w="11906" w:h="16838" w:orient="portrait"/>
      <w:pgMar w:top="851" w:right="566" w:bottom="851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5" w:hanging="495"/>
        <w:tabs>
          <w:tab w:val="num" w:pos="8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sz w:val="28"/>
      <w:lang w:val="ru-RU" w:eastAsia="ru-RU" w:bidi="ar-SA"/>
    </w:rPr>
  </w:style>
  <w:style w:type="character" w:styleId="841">
    <w:name w:val="Основной шрифт абзаца"/>
    <w:next w:val="841"/>
    <w:link w:val="840"/>
    <w:semiHidden/>
  </w:style>
  <w:style w:type="table" w:styleId="842">
    <w:name w:val="Обычная таблица"/>
    <w:next w:val="842"/>
    <w:link w:val="840"/>
    <w:semiHidden/>
    <w:tblPr/>
  </w:style>
  <w:style w:type="numbering" w:styleId="843">
    <w:name w:val="Нет списка"/>
    <w:next w:val="843"/>
    <w:link w:val="840"/>
    <w:semiHidden/>
  </w:style>
  <w:style w:type="paragraph" w:styleId="844">
    <w:name w:val="Основной текст"/>
    <w:basedOn w:val="840"/>
    <w:next w:val="844"/>
    <w:link w:val="840"/>
    <w:pPr>
      <w:jc w:val="center"/>
    </w:pPr>
  </w:style>
  <w:style w:type="paragraph" w:styleId="845">
    <w:name w:val="Название"/>
    <w:basedOn w:val="840"/>
    <w:next w:val="845"/>
    <w:link w:val="840"/>
    <w:qFormat/>
    <w:pPr>
      <w:jc w:val="center"/>
    </w:pPr>
    <w:rPr>
      <w:b/>
    </w:rPr>
  </w:style>
  <w:style w:type="paragraph" w:styleId="846">
    <w:name w:val="Верхний колонтитул"/>
    <w:basedOn w:val="840"/>
    <w:next w:val="846"/>
    <w:link w:val="847"/>
    <w:pPr>
      <w:tabs>
        <w:tab w:val="center" w:pos="4153" w:leader="none"/>
        <w:tab w:val="right" w:pos="8306" w:leader="none"/>
      </w:tabs>
    </w:pPr>
  </w:style>
  <w:style w:type="character" w:styleId="847">
    <w:name w:val="Верхний колонтитул Знак"/>
    <w:next w:val="847"/>
    <w:link w:val="846"/>
    <w:rPr>
      <w:sz w:val="28"/>
    </w:rPr>
  </w:style>
  <w:style w:type="paragraph" w:styleId="848">
    <w:name w:val="Текст выноски"/>
    <w:basedOn w:val="840"/>
    <w:next w:val="848"/>
    <w:link w:val="849"/>
    <w:rPr>
      <w:rFonts w:ascii="Tahoma" w:hAnsi="Tahoma" w:cs="Tahoma"/>
      <w:sz w:val="16"/>
      <w:szCs w:val="16"/>
    </w:rPr>
  </w:style>
  <w:style w:type="character" w:styleId="849">
    <w:name w:val="Текст выноски Знак"/>
    <w:next w:val="849"/>
    <w:link w:val="848"/>
    <w:rPr>
      <w:rFonts w:ascii="Tahoma" w:hAnsi="Tahoma" w:cs="Tahoma"/>
      <w:sz w:val="16"/>
      <w:szCs w:val="16"/>
    </w:rPr>
  </w:style>
  <w:style w:type="paragraph" w:styleId="850">
    <w:name w:val="ConsPlusTitle"/>
    <w:next w:val="850"/>
    <w:link w:val="840"/>
    <w:pPr>
      <w:widowControl w:val="off"/>
    </w:pPr>
    <w:rPr>
      <w:rFonts w:ascii="Arial" w:hAnsi="Arial" w:cs="Arial"/>
      <w:b/>
      <w:bCs/>
      <w:lang w:val="ru-RU" w:eastAsia="ru-RU" w:bidi="ar-SA"/>
    </w:rPr>
  </w:style>
  <w:style w:type="character" w:styleId="851" w:default="1">
    <w:name w:val="Default Paragraph Font"/>
    <w:uiPriority w:val="1"/>
    <w:semiHidden/>
    <w:unhideWhenUsed/>
  </w:style>
  <w:style w:type="numbering" w:styleId="852" w:default="1">
    <w:name w:val="No List"/>
    <w:uiPriority w:val="99"/>
    <w:semiHidden/>
    <w:unhideWhenUsed/>
  </w:style>
  <w:style w:type="table" w:styleId="8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65</cp:revision>
  <dcterms:created xsi:type="dcterms:W3CDTF">2021-02-09T08:18:00Z</dcterms:created>
  <dcterms:modified xsi:type="dcterms:W3CDTF">2025-07-07T04:32:13Z</dcterms:modified>
  <cp:version>983040</cp:version>
</cp:coreProperties>
</file>